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694C" w14:textId="77777777" w:rsidR="00130BED" w:rsidRPr="00AF7249" w:rsidRDefault="00D350F3" w:rsidP="00130BED">
      <w:pPr>
        <w:spacing w:before="120" w:after="240" w:line="240" w:lineRule="auto"/>
        <w:jc w:val="center"/>
        <w:rPr>
          <w:b/>
          <w:sz w:val="28"/>
        </w:rPr>
      </w:pPr>
      <w:r w:rsidRPr="00AF7249">
        <w:rPr>
          <w:b/>
          <w:sz w:val="28"/>
        </w:rPr>
        <w:t>Accessible Survey Design</w:t>
      </w:r>
      <w:r>
        <w:rPr>
          <w:b/>
          <w:sz w:val="28"/>
        </w:rPr>
        <w:t xml:space="preserve"> Checklist</w:t>
      </w:r>
    </w:p>
    <w:p w14:paraId="66DA405B" w14:textId="77777777" w:rsidR="009B5C28" w:rsidRDefault="00D350F3" w:rsidP="009D4728">
      <w:pPr>
        <w:spacing w:after="120" w:line="240" w:lineRule="auto"/>
        <w:rPr>
          <w:sz w:val="24"/>
        </w:rPr>
      </w:pPr>
      <w:r>
        <w:rPr>
          <w:sz w:val="24"/>
        </w:rPr>
        <w:t xml:space="preserve">Use the checklist below to make your surveys accessible to people </w:t>
      </w:r>
      <w:r w:rsidR="00802B41">
        <w:rPr>
          <w:sz w:val="24"/>
        </w:rPr>
        <w:t>of all</w:t>
      </w:r>
      <w:r>
        <w:rPr>
          <w:sz w:val="24"/>
        </w:rPr>
        <w:t xml:space="preserve"> abilities. </w:t>
      </w:r>
      <w:r w:rsidR="00D2435C">
        <w:rPr>
          <w:sz w:val="24"/>
        </w:rPr>
        <w:t>The strategies are based on best prac</w:t>
      </w:r>
      <w:r w:rsidR="008969DB">
        <w:rPr>
          <w:sz w:val="24"/>
        </w:rPr>
        <w:t>tices in the research literature</w:t>
      </w:r>
      <w:r w:rsidR="00D2435C">
        <w:rPr>
          <w:sz w:val="24"/>
        </w:rPr>
        <w:t>.</w:t>
      </w:r>
      <w:r w:rsidR="008D667D">
        <w:rPr>
          <w:sz w:val="24"/>
        </w:rPr>
        <w:t xml:space="preserve"> The appropriate strategies may vary depending on your target population and </w:t>
      </w:r>
      <w:r w:rsidR="00FB4EB4">
        <w:rPr>
          <w:sz w:val="24"/>
        </w:rPr>
        <w:t xml:space="preserve">survey </w:t>
      </w:r>
      <w:r w:rsidR="008D667D">
        <w:rPr>
          <w:sz w:val="24"/>
        </w:rPr>
        <w:t>administration method.</w:t>
      </w:r>
      <w:r>
        <w:rPr>
          <w:sz w:val="24"/>
        </w:rPr>
        <w:t xml:space="preserve"> </w:t>
      </w:r>
      <w:bookmarkStart w:id="0" w:name="_GoBack"/>
      <w:bookmarkEnd w:id="0"/>
    </w:p>
    <w:p w14:paraId="5DE3C24A" w14:textId="77777777" w:rsidR="000651D1" w:rsidRPr="005D2D62" w:rsidRDefault="00D350F3" w:rsidP="009D4728">
      <w:pPr>
        <w:spacing w:after="120" w:line="240" w:lineRule="auto"/>
        <w:rPr>
          <w:sz w:val="24"/>
        </w:rPr>
      </w:pPr>
      <w:r>
        <w:rPr>
          <w:sz w:val="24"/>
        </w:rPr>
        <w:t>Please see the “Best Practices in Survey Design</w:t>
      </w:r>
      <w:r w:rsidR="004F1FC4">
        <w:rPr>
          <w:sz w:val="24"/>
        </w:rPr>
        <w:t xml:space="preserve"> Checklist”</w:t>
      </w:r>
      <w:r>
        <w:rPr>
          <w:sz w:val="24"/>
        </w:rPr>
        <w:t xml:space="preserve"> for other strategies, many of which also help people with disabilities.</w:t>
      </w:r>
      <w:r w:rsidR="008D667D">
        <w:rPr>
          <w:sz w:val="24"/>
        </w:rPr>
        <w:t xml:space="preserve"> </w:t>
      </w:r>
      <w:r w:rsidR="008D667D" w:rsidRPr="001F5D2D">
        <w:rPr>
          <w:sz w:val="24"/>
        </w:rPr>
        <w:t>Please see the “</w:t>
      </w:r>
      <w:r w:rsidR="00581CA6" w:rsidRPr="001F5D2D">
        <w:rPr>
          <w:sz w:val="24"/>
        </w:rPr>
        <w:t>Demographic Data Collection</w:t>
      </w:r>
      <w:r w:rsidR="00763B4F" w:rsidRPr="001F5D2D">
        <w:rPr>
          <w:sz w:val="24"/>
        </w:rPr>
        <w:t xml:space="preserve"> </w:t>
      </w:r>
      <w:r w:rsidR="008D667D" w:rsidRPr="001F5D2D">
        <w:rPr>
          <w:sz w:val="24"/>
        </w:rPr>
        <w:t>Checklist” for strategies</w:t>
      </w:r>
      <w:r w:rsidR="008D667D">
        <w:rPr>
          <w:sz w:val="24"/>
        </w:rPr>
        <w:t xml:space="preserve"> to collect 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of Accessibility Strategies"/>
        <w:tblDescription w:val="The table consists of three column detailing the item, strategy, and box to check. There are eight strategies listed."/>
      </w:tblPr>
      <w:tblGrid>
        <w:gridCol w:w="680"/>
        <w:gridCol w:w="8294"/>
        <w:gridCol w:w="1106"/>
      </w:tblGrid>
      <w:tr w:rsidR="00D350F3" w14:paraId="653EA309" w14:textId="77777777" w:rsidTr="000265D2">
        <w:trPr>
          <w:tblHeader/>
        </w:trPr>
        <w:tc>
          <w:tcPr>
            <w:tcW w:w="0" w:type="auto"/>
            <w:shd w:val="clear" w:color="auto" w:fill="448084"/>
          </w:tcPr>
          <w:p w14:paraId="05A18BEB" w14:textId="77777777" w:rsidR="00D350F3" w:rsidRPr="00FE2C02" w:rsidRDefault="00D350F3" w:rsidP="000265D2">
            <w:pPr>
              <w:jc w:val="center"/>
              <w:rPr>
                <w:b/>
                <w:color w:val="FFFFFF" w:themeColor="background1"/>
                <w:sz w:val="24"/>
              </w:rPr>
            </w:pPr>
            <w:r>
              <w:rPr>
                <w:b/>
                <w:color w:val="FFFFFF" w:themeColor="background1"/>
                <w:sz w:val="24"/>
              </w:rPr>
              <w:t>Item</w:t>
            </w:r>
          </w:p>
        </w:tc>
        <w:tc>
          <w:tcPr>
            <w:tcW w:w="0" w:type="auto"/>
            <w:shd w:val="clear" w:color="auto" w:fill="448084"/>
          </w:tcPr>
          <w:p w14:paraId="21817397" w14:textId="77777777" w:rsidR="00D350F3" w:rsidRPr="00FE2C02" w:rsidRDefault="00D350F3" w:rsidP="000265D2">
            <w:pPr>
              <w:jc w:val="center"/>
              <w:rPr>
                <w:b/>
                <w:color w:val="FFFFFF" w:themeColor="background1"/>
                <w:sz w:val="24"/>
              </w:rPr>
            </w:pPr>
            <w:r w:rsidRPr="00FE2C02">
              <w:rPr>
                <w:b/>
                <w:color w:val="FFFFFF" w:themeColor="background1"/>
                <w:sz w:val="24"/>
              </w:rPr>
              <w:t>Strategy</w:t>
            </w:r>
          </w:p>
        </w:tc>
        <w:tc>
          <w:tcPr>
            <w:tcW w:w="0" w:type="auto"/>
            <w:shd w:val="clear" w:color="auto" w:fill="448084"/>
          </w:tcPr>
          <w:p w14:paraId="7E3C2AB0" w14:textId="77777777" w:rsidR="00D350F3" w:rsidRPr="00FE2C02" w:rsidRDefault="00D350F3" w:rsidP="000265D2">
            <w:pPr>
              <w:jc w:val="center"/>
              <w:rPr>
                <w:b/>
                <w:color w:val="FFFFFF" w:themeColor="background1"/>
                <w:sz w:val="24"/>
              </w:rPr>
            </w:pPr>
            <w:r w:rsidRPr="00FE2C02">
              <w:rPr>
                <w:b/>
                <w:color w:val="FFFFFF" w:themeColor="background1"/>
                <w:sz w:val="24"/>
              </w:rPr>
              <w:t>Checklist</w:t>
            </w:r>
          </w:p>
        </w:tc>
      </w:tr>
      <w:tr w:rsidR="00C13D6C" w14:paraId="050992B9" w14:textId="77777777" w:rsidTr="006B0C2E">
        <w:tc>
          <w:tcPr>
            <w:tcW w:w="0" w:type="auto"/>
            <w:vAlign w:val="center"/>
          </w:tcPr>
          <w:p w14:paraId="2F018F46" w14:textId="77777777" w:rsidR="00C13D6C" w:rsidRPr="001054BE" w:rsidRDefault="00C13D6C" w:rsidP="00B247C9">
            <w:pPr>
              <w:jc w:val="center"/>
              <w:rPr>
                <w:b/>
                <w:color w:val="448084"/>
                <w:sz w:val="44"/>
              </w:rPr>
            </w:pPr>
            <w:r w:rsidRPr="001054BE">
              <w:rPr>
                <w:b/>
                <w:color w:val="448084"/>
                <w:sz w:val="44"/>
              </w:rPr>
              <w:t>1</w:t>
            </w:r>
          </w:p>
        </w:tc>
        <w:tc>
          <w:tcPr>
            <w:tcW w:w="0" w:type="auto"/>
          </w:tcPr>
          <w:p w14:paraId="69E245B2" w14:textId="77777777" w:rsidR="00C13D6C" w:rsidRPr="005B2FE3" w:rsidRDefault="00C13D6C" w:rsidP="009B03D1">
            <w:pPr>
              <w:spacing w:after="200"/>
              <w:rPr>
                <w:sz w:val="24"/>
              </w:rPr>
            </w:pPr>
            <w:r>
              <w:rPr>
                <w:b/>
                <w:sz w:val="24"/>
              </w:rPr>
              <w:t xml:space="preserve">Offer Alternative Formats: </w:t>
            </w:r>
            <w:r w:rsidR="00664CD2">
              <w:rPr>
                <w:sz w:val="24"/>
              </w:rPr>
              <w:t>I</w:t>
            </w:r>
            <w:r w:rsidR="00085B67">
              <w:rPr>
                <w:sz w:val="24"/>
              </w:rPr>
              <w:t>n the survey introduction</w:t>
            </w:r>
            <w:r w:rsidR="00664CD2">
              <w:rPr>
                <w:sz w:val="24"/>
              </w:rPr>
              <w:t>, tell people</w:t>
            </w:r>
            <w:r w:rsidR="00085B67">
              <w:rPr>
                <w:sz w:val="24"/>
              </w:rPr>
              <w:t xml:space="preserve"> </w:t>
            </w:r>
            <w:r>
              <w:rPr>
                <w:sz w:val="24"/>
              </w:rPr>
              <w:t xml:space="preserve">how to </w:t>
            </w:r>
            <w:r w:rsidR="004D530E">
              <w:rPr>
                <w:sz w:val="24"/>
              </w:rPr>
              <w:t xml:space="preserve">request </w:t>
            </w:r>
            <w:r>
              <w:rPr>
                <w:sz w:val="24"/>
              </w:rPr>
              <w:t>alternative formats</w:t>
            </w:r>
            <w:r w:rsidR="00475F37">
              <w:rPr>
                <w:sz w:val="24"/>
              </w:rPr>
              <w:t xml:space="preserve"> of the survey</w:t>
            </w:r>
            <w:r>
              <w:rPr>
                <w:sz w:val="24"/>
              </w:rPr>
              <w:t>.</w:t>
            </w:r>
          </w:p>
        </w:tc>
        <w:sdt>
          <w:sdtPr>
            <w:rPr>
              <w:sz w:val="24"/>
            </w:rPr>
            <w:id w:val="1313207700"/>
            <w14:checkbox>
              <w14:checked w14:val="0"/>
              <w14:checkedState w14:val="2612" w14:font="MS Gothic"/>
              <w14:uncheckedState w14:val="2610" w14:font="MS Gothic"/>
            </w14:checkbox>
          </w:sdtPr>
          <w:sdtEndPr/>
          <w:sdtContent>
            <w:tc>
              <w:tcPr>
                <w:tcW w:w="0" w:type="auto"/>
                <w:vAlign w:val="center"/>
              </w:tcPr>
              <w:p w14:paraId="2898B2A1" w14:textId="77777777" w:rsidR="00C13D6C" w:rsidRDefault="00C13D6C" w:rsidP="00B247C9">
                <w:pPr>
                  <w:jc w:val="center"/>
                  <w:rPr>
                    <w:sz w:val="24"/>
                  </w:rPr>
                </w:pPr>
                <w:r>
                  <w:rPr>
                    <w:rFonts w:ascii="MS Gothic" w:eastAsia="MS Gothic" w:hAnsi="MS Gothic" w:hint="eastAsia"/>
                    <w:sz w:val="24"/>
                  </w:rPr>
                  <w:t>☐</w:t>
                </w:r>
              </w:p>
            </w:tc>
          </w:sdtContent>
        </w:sdt>
      </w:tr>
      <w:tr w:rsidR="00C13D6C" w14:paraId="1D2B8FA4" w14:textId="77777777" w:rsidTr="006B0C2E">
        <w:tc>
          <w:tcPr>
            <w:tcW w:w="0" w:type="auto"/>
            <w:vAlign w:val="center"/>
          </w:tcPr>
          <w:p w14:paraId="5B4E7A94" w14:textId="77777777" w:rsidR="00C13D6C" w:rsidRPr="001054BE" w:rsidRDefault="00C13D6C" w:rsidP="00B247C9">
            <w:pPr>
              <w:jc w:val="center"/>
              <w:rPr>
                <w:b/>
                <w:color w:val="448084"/>
                <w:sz w:val="44"/>
              </w:rPr>
            </w:pPr>
            <w:r w:rsidRPr="001054BE">
              <w:rPr>
                <w:b/>
                <w:color w:val="448084"/>
                <w:sz w:val="44"/>
              </w:rPr>
              <w:t>2</w:t>
            </w:r>
          </w:p>
        </w:tc>
        <w:tc>
          <w:tcPr>
            <w:tcW w:w="0" w:type="auto"/>
          </w:tcPr>
          <w:p w14:paraId="6CC16285" w14:textId="77777777" w:rsidR="00C13D6C" w:rsidRPr="005D2D62" w:rsidRDefault="00C13D6C" w:rsidP="009B03D1">
            <w:pPr>
              <w:spacing w:after="200"/>
              <w:rPr>
                <w:sz w:val="24"/>
              </w:rPr>
            </w:pPr>
            <w:r>
              <w:rPr>
                <w:b/>
                <w:sz w:val="24"/>
              </w:rPr>
              <w:t>Accessible Survey Software</w:t>
            </w:r>
            <w:r w:rsidR="001D720B">
              <w:rPr>
                <w:b/>
                <w:sz w:val="24"/>
              </w:rPr>
              <w:t xml:space="preserve"> and Format</w:t>
            </w:r>
            <w:r>
              <w:rPr>
                <w:b/>
                <w:sz w:val="24"/>
              </w:rPr>
              <w:t xml:space="preserve">: </w:t>
            </w:r>
            <w:r>
              <w:rPr>
                <w:sz w:val="24"/>
              </w:rPr>
              <w:t xml:space="preserve">Use survey software that is compliant with </w:t>
            </w:r>
            <w:hyperlink r:id="rId6" w:history="1">
              <w:r w:rsidRPr="003A1E4E">
                <w:rPr>
                  <w:rStyle w:val="Hyperlink"/>
                  <w:sz w:val="24"/>
                </w:rPr>
                <w:t>Section 508 of the Rehabilitation Act and Web Content Accessibility Guidelines</w:t>
              </w:r>
            </w:hyperlink>
            <w:r>
              <w:rPr>
                <w:sz w:val="24"/>
              </w:rPr>
              <w:t xml:space="preserve"> (WCAG).</w:t>
            </w:r>
            <w:r w:rsidR="001D720B">
              <w:rPr>
                <w:sz w:val="24"/>
              </w:rPr>
              <w:t xml:space="preserve"> Use survey formats that are accessible to e-readers. For example, only the “Classic” format in SurveyMonkey is accessible.</w:t>
            </w:r>
          </w:p>
        </w:tc>
        <w:sdt>
          <w:sdtPr>
            <w:rPr>
              <w:sz w:val="24"/>
            </w:rPr>
            <w:id w:val="703753495"/>
            <w14:checkbox>
              <w14:checked w14:val="0"/>
              <w14:checkedState w14:val="2612" w14:font="MS Gothic"/>
              <w14:uncheckedState w14:val="2610" w14:font="MS Gothic"/>
            </w14:checkbox>
          </w:sdtPr>
          <w:sdtEndPr/>
          <w:sdtContent>
            <w:tc>
              <w:tcPr>
                <w:tcW w:w="0" w:type="auto"/>
                <w:vAlign w:val="center"/>
              </w:tcPr>
              <w:p w14:paraId="51ED7197" w14:textId="77777777" w:rsidR="00C13D6C" w:rsidRDefault="00C13D6C" w:rsidP="00B247C9">
                <w:pPr>
                  <w:jc w:val="center"/>
                  <w:rPr>
                    <w:sz w:val="24"/>
                  </w:rPr>
                </w:pPr>
                <w:r>
                  <w:rPr>
                    <w:rFonts w:ascii="MS Gothic" w:eastAsia="MS Gothic" w:hAnsi="MS Gothic" w:hint="eastAsia"/>
                    <w:sz w:val="24"/>
                  </w:rPr>
                  <w:t>☐</w:t>
                </w:r>
              </w:p>
            </w:tc>
          </w:sdtContent>
        </w:sdt>
      </w:tr>
      <w:tr w:rsidR="001D720B" w14:paraId="324FE222" w14:textId="77777777" w:rsidTr="006B0C2E">
        <w:tc>
          <w:tcPr>
            <w:tcW w:w="0" w:type="auto"/>
            <w:vAlign w:val="center"/>
          </w:tcPr>
          <w:p w14:paraId="2B323BA1" w14:textId="77777777" w:rsidR="001D720B" w:rsidRPr="001054BE" w:rsidRDefault="001D720B" w:rsidP="00B247C9">
            <w:pPr>
              <w:jc w:val="center"/>
              <w:rPr>
                <w:b/>
                <w:color w:val="448084"/>
                <w:sz w:val="44"/>
              </w:rPr>
            </w:pPr>
            <w:r w:rsidRPr="001054BE">
              <w:rPr>
                <w:b/>
                <w:color w:val="448084"/>
                <w:sz w:val="44"/>
              </w:rPr>
              <w:t>3</w:t>
            </w:r>
          </w:p>
        </w:tc>
        <w:tc>
          <w:tcPr>
            <w:tcW w:w="0" w:type="auto"/>
          </w:tcPr>
          <w:p w14:paraId="41265A0B" w14:textId="77777777" w:rsidR="001D720B" w:rsidRDefault="001D720B" w:rsidP="009B03D1">
            <w:pPr>
              <w:spacing w:after="200"/>
              <w:rPr>
                <w:sz w:val="24"/>
              </w:rPr>
            </w:pPr>
            <w:r>
              <w:rPr>
                <w:b/>
                <w:sz w:val="24"/>
              </w:rPr>
              <w:t>Accessible Question T</w:t>
            </w:r>
            <w:r w:rsidRPr="00AF7249">
              <w:rPr>
                <w:b/>
                <w:sz w:val="24"/>
              </w:rPr>
              <w:t>ype</w:t>
            </w:r>
            <w:r>
              <w:rPr>
                <w:b/>
                <w:sz w:val="24"/>
              </w:rPr>
              <w:t>s</w:t>
            </w:r>
            <w:r w:rsidRPr="00AF7249">
              <w:rPr>
                <w:b/>
                <w:sz w:val="24"/>
              </w:rPr>
              <w:t>:</w:t>
            </w:r>
            <w:r>
              <w:rPr>
                <w:sz w:val="24"/>
              </w:rPr>
              <w:t xml:space="preserve"> Use questions that are accessible to e-readers in your survey software. For example, matrix and ranking questions may be inaccessible.</w:t>
            </w:r>
          </w:p>
        </w:tc>
        <w:sdt>
          <w:sdtPr>
            <w:rPr>
              <w:sz w:val="24"/>
            </w:rPr>
            <w:id w:val="-1232540635"/>
            <w14:checkbox>
              <w14:checked w14:val="0"/>
              <w14:checkedState w14:val="2612" w14:font="MS Gothic"/>
              <w14:uncheckedState w14:val="2610" w14:font="MS Gothic"/>
            </w14:checkbox>
          </w:sdtPr>
          <w:sdtEndPr/>
          <w:sdtContent>
            <w:tc>
              <w:tcPr>
                <w:tcW w:w="0" w:type="auto"/>
                <w:vAlign w:val="center"/>
              </w:tcPr>
              <w:p w14:paraId="77592791" w14:textId="77777777" w:rsidR="001D720B" w:rsidRDefault="001D720B" w:rsidP="00B247C9">
                <w:pPr>
                  <w:jc w:val="center"/>
                  <w:rPr>
                    <w:sz w:val="24"/>
                  </w:rPr>
                </w:pPr>
                <w:r>
                  <w:rPr>
                    <w:rFonts w:ascii="MS Gothic" w:eastAsia="MS Gothic" w:hAnsi="MS Gothic" w:hint="eastAsia"/>
                    <w:sz w:val="24"/>
                  </w:rPr>
                  <w:t>☐</w:t>
                </w:r>
              </w:p>
            </w:tc>
          </w:sdtContent>
        </w:sdt>
      </w:tr>
      <w:tr w:rsidR="001D720B" w14:paraId="558EC224" w14:textId="77777777" w:rsidTr="006B0C2E">
        <w:tc>
          <w:tcPr>
            <w:tcW w:w="0" w:type="auto"/>
            <w:vAlign w:val="center"/>
          </w:tcPr>
          <w:p w14:paraId="3DA300F4" w14:textId="77777777" w:rsidR="001D720B" w:rsidRPr="001054BE" w:rsidRDefault="001D720B" w:rsidP="00B247C9">
            <w:pPr>
              <w:jc w:val="center"/>
              <w:rPr>
                <w:b/>
                <w:color w:val="448084"/>
                <w:sz w:val="44"/>
              </w:rPr>
            </w:pPr>
            <w:r w:rsidRPr="001054BE">
              <w:rPr>
                <w:b/>
                <w:color w:val="448084"/>
                <w:sz w:val="44"/>
              </w:rPr>
              <w:t>4</w:t>
            </w:r>
          </w:p>
        </w:tc>
        <w:tc>
          <w:tcPr>
            <w:tcW w:w="0" w:type="auto"/>
          </w:tcPr>
          <w:p w14:paraId="316858DF" w14:textId="77777777" w:rsidR="001D720B" w:rsidRPr="00F94028" w:rsidRDefault="001D720B" w:rsidP="009B03D1">
            <w:pPr>
              <w:spacing w:after="200"/>
              <w:rPr>
                <w:sz w:val="24"/>
              </w:rPr>
            </w:pPr>
            <w:r>
              <w:rPr>
                <w:b/>
                <w:sz w:val="24"/>
              </w:rPr>
              <w:t>Color Contrast:</w:t>
            </w:r>
            <w:r>
              <w:rPr>
                <w:sz w:val="24"/>
              </w:rPr>
              <w:t xml:space="preserve"> Use colors that people with vision </w:t>
            </w:r>
            <w:r w:rsidR="00FA64C2">
              <w:rPr>
                <w:sz w:val="24"/>
              </w:rPr>
              <w:t>impairment</w:t>
            </w:r>
            <w:r>
              <w:rPr>
                <w:sz w:val="24"/>
              </w:rPr>
              <w:t xml:space="preserve"> can distinguish</w:t>
            </w:r>
            <w:r w:rsidR="009B3951">
              <w:rPr>
                <w:sz w:val="24"/>
              </w:rPr>
              <w:t>. Use w</w:t>
            </w:r>
            <w:r w:rsidR="00977E91">
              <w:rPr>
                <w:sz w:val="24"/>
              </w:rPr>
              <w:t xml:space="preserve">ebsites like </w:t>
            </w:r>
            <w:hyperlink r:id="rId7" w:history="1">
              <w:r>
                <w:rPr>
                  <w:rStyle w:val="Hyperlink"/>
                  <w:sz w:val="24"/>
                </w:rPr>
                <w:t>Accessible Web</w:t>
              </w:r>
            </w:hyperlink>
            <w:r>
              <w:rPr>
                <w:sz w:val="24"/>
              </w:rPr>
              <w:t xml:space="preserve"> and </w:t>
            </w:r>
            <w:hyperlink r:id="rId8" w:history="1">
              <w:r w:rsidRPr="00292703">
                <w:rPr>
                  <w:rStyle w:val="Hyperlink"/>
                  <w:sz w:val="24"/>
                </w:rPr>
                <w:t>Tanaguru</w:t>
              </w:r>
            </w:hyperlink>
            <w:r>
              <w:rPr>
                <w:sz w:val="24"/>
              </w:rPr>
              <w:t xml:space="preserve"> </w:t>
            </w:r>
            <w:r w:rsidR="009459C0">
              <w:rPr>
                <w:sz w:val="24"/>
              </w:rPr>
              <w:t xml:space="preserve">to </w:t>
            </w:r>
            <w:r w:rsidR="005D6015">
              <w:rPr>
                <w:sz w:val="24"/>
              </w:rPr>
              <w:t>test</w:t>
            </w:r>
            <w:r>
              <w:rPr>
                <w:sz w:val="24"/>
              </w:rPr>
              <w:t xml:space="preserve"> if colors meet WCAG standards.</w:t>
            </w:r>
          </w:p>
        </w:tc>
        <w:sdt>
          <w:sdtPr>
            <w:rPr>
              <w:sz w:val="24"/>
            </w:rPr>
            <w:id w:val="1073388053"/>
            <w14:checkbox>
              <w14:checked w14:val="0"/>
              <w14:checkedState w14:val="2612" w14:font="MS Gothic"/>
              <w14:uncheckedState w14:val="2610" w14:font="MS Gothic"/>
            </w14:checkbox>
          </w:sdtPr>
          <w:sdtEndPr/>
          <w:sdtContent>
            <w:tc>
              <w:tcPr>
                <w:tcW w:w="0" w:type="auto"/>
                <w:vAlign w:val="center"/>
              </w:tcPr>
              <w:p w14:paraId="0B2640C0" w14:textId="77777777" w:rsidR="001D720B" w:rsidRDefault="001D720B" w:rsidP="00B247C9">
                <w:pPr>
                  <w:jc w:val="center"/>
                  <w:rPr>
                    <w:sz w:val="24"/>
                  </w:rPr>
                </w:pPr>
                <w:r>
                  <w:rPr>
                    <w:rFonts w:ascii="MS Gothic" w:eastAsia="MS Gothic" w:hAnsi="MS Gothic" w:hint="eastAsia"/>
                    <w:sz w:val="24"/>
                  </w:rPr>
                  <w:t>☐</w:t>
                </w:r>
              </w:p>
            </w:tc>
          </w:sdtContent>
        </w:sdt>
      </w:tr>
      <w:tr w:rsidR="001D720B" w14:paraId="2F63FA09" w14:textId="77777777" w:rsidTr="006B0C2E">
        <w:tc>
          <w:tcPr>
            <w:tcW w:w="0" w:type="auto"/>
            <w:vAlign w:val="center"/>
          </w:tcPr>
          <w:p w14:paraId="60BAC85A" w14:textId="77777777" w:rsidR="001D720B" w:rsidRPr="001054BE" w:rsidRDefault="001D720B" w:rsidP="00B247C9">
            <w:pPr>
              <w:jc w:val="center"/>
              <w:rPr>
                <w:b/>
                <w:color w:val="448084"/>
                <w:sz w:val="44"/>
              </w:rPr>
            </w:pPr>
            <w:r w:rsidRPr="001054BE">
              <w:rPr>
                <w:b/>
                <w:color w:val="448084"/>
                <w:sz w:val="44"/>
              </w:rPr>
              <w:t>5</w:t>
            </w:r>
          </w:p>
        </w:tc>
        <w:tc>
          <w:tcPr>
            <w:tcW w:w="0" w:type="auto"/>
          </w:tcPr>
          <w:p w14:paraId="78A50666" w14:textId="77777777" w:rsidR="001D720B" w:rsidRPr="007734AF" w:rsidRDefault="001D720B" w:rsidP="009B03D1">
            <w:pPr>
              <w:spacing w:after="200"/>
              <w:rPr>
                <w:sz w:val="24"/>
              </w:rPr>
            </w:pPr>
            <w:r>
              <w:rPr>
                <w:b/>
                <w:sz w:val="24"/>
              </w:rPr>
              <w:t xml:space="preserve">Clear Text: </w:t>
            </w:r>
            <w:r>
              <w:rPr>
                <w:sz w:val="24"/>
              </w:rPr>
              <w:t>Use a clear font, white space to reduce clutter, and font size 18+ to help people with vision loss, Down Syndrome, dyslexia, and other disabilities.</w:t>
            </w:r>
          </w:p>
        </w:tc>
        <w:sdt>
          <w:sdtPr>
            <w:rPr>
              <w:sz w:val="24"/>
            </w:rPr>
            <w:id w:val="61839070"/>
            <w14:checkbox>
              <w14:checked w14:val="0"/>
              <w14:checkedState w14:val="2612" w14:font="MS Gothic"/>
              <w14:uncheckedState w14:val="2610" w14:font="MS Gothic"/>
            </w14:checkbox>
          </w:sdtPr>
          <w:sdtEndPr/>
          <w:sdtContent>
            <w:tc>
              <w:tcPr>
                <w:tcW w:w="0" w:type="auto"/>
                <w:vAlign w:val="center"/>
              </w:tcPr>
              <w:p w14:paraId="6DF371DC" w14:textId="77777777" w:rsidR="001D720B" w:rsidRDefault="001D720B" w:rsidP="00B247C9">
                <w:pPr>
                  <w:jc w:val="center"/>
                  <w:rPr>
                    <w:sz w:val="24"/>
                  </w:rPr>
                </w:pPr>
                <w:r>
                  <w:rPr>
                    <w:rFonts w:ascii="MS Gothic" w:eastAsia="MS Gothic" w:hAnsi="MS Gothic" w:hint="eastAsia"/>
                    <w:sz w:val="24"/>
                  </w:rPr>
                  <w:t>☐</w:t>
                </w:r>
              </w:p>
            </w:tc>
          </w:sdtContent>
        </w:sdt>
      </w:tr>
      <w:tr w:rsidR="001D720B" w14:paraId="715C2B69" w14:textId="77777777" w:rsidTr="006B0C2E">
        <w:tc>
          <w:tcPr>
            <w:tcW w:w="0" w:type="auto"/>
            <w:vAlign w:val="center"/>
          </w:tcPr>
          <w:p w14:paraId="297C0184" w14:textId="77777777" w:rsidR="001D720B" w:rsidRPr="001054BE" w:rsidRDefault="001D720B" w:rsidP="00B247C9">
            <w:pPr>
              <w:jc w:val="center"/>
              <w:rPr>
                <w:b/>
                <w:color w:val="448084"/>
                <w:sz w:val="44"/>
              </w:rPr>
            </w:pPr>
            <w:r w:rsidRPr="001054BE">
              <w:rPr>
                <w:b/>
                <w:color w:val="448084"/>
                <w:sz w:val="44"/>
              </w:rPr>
              <w:t>6</w:t>
            </w:r>
          </w:p>
        </w:tc>
        <w:tc>
          <w:tcPr>
            <w:tcW w:w="0" w:type="auto"/>
          </w:tcPr>
          <w:p w14:paraId="1552DB0E" w14:textId="77777777" w:rsidR="001D720B" w:rsidRPr="007734AF" w:rsidRDefault="001D720B" w:rsidP="009B03D1">
            <w:pPr>
              <w:spacing w:after="200"/>
              <w:rPr>
                <w:sz w:val="24"/>
              </w:rPr>
            </w:pPr>
            <w:r>
              <w:rPr>
                <w:b/>
                <w:sz w:val="24"/>
              </w:rPr>
              <w:t>Plain L</w:t>
            </w:r>
            <w:r w:rsidRPr="00342637">
              <w:rPr>
                <w:b/>
                <w:sz w:val="24"/>
              </w:rPr>
              <w:t>anguage:</w:t>
            </w:r>
            <w:r>
              <w:rPr>
                <w:sz w:val="24"/>
              </w:rPr>
              <w:t xml:space="preserve"> Use simple and consistent language, define terms, and avoid abstract concepts. Aim for a grade 3 to 5 reading level. Check the Flesch-Kincaid Grade Level score in Microsoft Word’s reading statistics or the </w:t>
            </w:r>
            <w:hyperlink r:id="rId9" w:history="1">
              <w:r>
                <w:rPr>
                  <w:rStyle w:val="Hyperlink"/>
                  <w:sz w:val="24"/>
                </w:rPr>
                <w:t>datayze website</w:t>
              </w:r>
            </w:hyperlink>
            <w:r>
              <w:rPr>
                <w:sz w:val="24"/>
              </w:rPr>
              <w:t>.</w:t>
            </w:r>
          </w:p>
        </w:tc>
        <w:sdt>
          <w:sdtPr>
            <w:rPr>
              <w:sz w:val="24"/>
            </w:rPr>
            <w:id w:val="1093052202"/>
            <w14:checkbox>
              <w14:checked w14:val="0"/>
              <w14:checkedState w14:val="2612" w14:font="MS Gothic"/>
              <w14:uncheckedState w14:val="2610" w14:font="MS Gothic"/>
            </w14:checkbox>
          </w:sdtPr>
          <w:sdtEndPr/>
          <w:sdtContent>
            <w:tc>
              <w:tcPr>
                <w:tcW w:w="0" w:type="auto"/>
                <w:vAlign w:val="center"/>
              </w:tcPr>
              <w:p w14:paraId="26AA611C" w14:textId="77777777" w:rsidR="001D720B" w:rsidRDefault="001D720B" w:rsidP="00B247C9">
                <w:pPr>
                  <w:jc w:val="center"/>
                  <w:rPr>
                    <w:sz w:val="24"/>
                  </w:rPr>
                </w:pPr>
                <w:r>
                  <w:rPr>
                    <w:rFonts w:ascii="MS Gothic" w:eastAsia="MS Gothic" w:hAnsi="MS Gothic" w:hint="eastAsia"/>
                    <w:sz w:val="24"/>
                  </w:rPr>
                  <w:t>☐</w:t>
                </w:r>
              </w:p>
            </w:tc>
          </w:sdtContent>
        </w:sdt>
      </w:tr>
      <w:tr w:rsidR="001D720B" w14:paraId="6C091A27" w14:textId="77777777" w:rsidTr="006B0C2E">
        <w:tc>
          <w:tcPr>
            <w:tcW w:w="0" w:type="auto"/>
            <w:vAlign w:val="center"/>
          </w:tcPr>
          <w:p w14:paraId="77FA5CD8" w14:textId="77777777" w:rsidR="001D720B" w:rsidRPr="001054BE" w:rsidRDefault="001D720B" w:rsidP="00B247C9">
            <w:pPr>
              <w:jc w:val="center"/>
              <w:rPr>
                <w:b/>
                <w:color w:val="448084"/>
                <w:sz w:val="44"/>
              </w:rPr>
            </w:pPr>
            <w:r w:rsidRPr="001054BE">
              <w:rPr>
                <w:b/>
                <w:color w:val="448084"/>
                <w:sz w:val="44"/>
              </w:rPr>
              <w:t>7</w:t>
            </w:r>
          </w:p>
        </w:tc>
        <w:tc>
          <w:tcPr>
            <w:tcW w:w="0" w:type="auto"/>
          </w:tcPr>
          <w:p w14:paraId="5AC8B47E" w14:textId="77777777" w:rsidR="001D720B" w:rsidRPr="00552510" w:rsidRDefault="001D720B" w:rsidP="009B03D1">
            <w:pPr>
              <w:spacing w:after="200"/>
              <w:rPr>
                <w:sz w:val="24"/>
              </w:rPr>
            </w:pPr>
            <w:r>
              <w:rPr>
                <w:b/>
                <w:sz w:val="24"/>
              </w:rPr>
              <w:t xml:space="preserve">Focus on Present: </w:t>
            </w:r>
            <w:r>
              <w:rPr>
                <w:sz w:val="24"/>
              </w:rPr>
              <w:t>Limit questions that ask people with cognitive disabilities to recall information from a while ago or identify the frequency of something.</w:t>
            </w:r>
          </w:p>
        </w:tc>
        <w:sdt>
          <w:sdtPr>
            <w:rPr>
              <w:sz w:val="24"/>
            </w:rPr>
            <w:id w:val="-48235082"/>
            <w14:checkbox>
              <w14:checked w14:val="0"/>
              <w14:checkedState w14:val="2612" w14:font="MS Gothic"/>
              <w14:uncheckedState w14:val="2610" w14:font="MS Gothic"/>
            </w14:checkbox>
          </w:sdtPr>
          <w:sdtEndPr/>
          <w:sdtContent>
            <w:tc>
              <w:tcPr>
                <w:tcW w:w="0" w:type="auto"/>
                <w:vAlign w:val="center"/>
              </w:tcPr>
              <w:p w14:paraId="60C12083" w14:textId="77777777" w:rsidR="001D720B" w:rsidRDefault="001D720B" w:rsidP="00B247C9">
                <w:pPr>
                  <w:jc w:val="center"/>
                  <w:rPr>
                    <w:sz w:val="24"/>
                  </w:rPr>
                </w:pPr>
                <w:r>
                  <w:rPr>
                    <w:rFonts w:ascii="MS Gothic" w:eastAsia="MS Gothic" w:hAnsi="MS Gothic" w:hint="eastAsia"/>
                    <w:sz w:val="24"/>
                  </w:rPr>
                  <w:t>☐</w:t>
                </w:r>
              </w:p>
            </w:tc>
          </w:sdtContent>
        </w:sdt>
      </w:tr>
      <w:tr w:rsidR="001D720B" w14:paraId="7025121E" w14:textId="77777777" w:rsidTr="006B0C2E">
        <w:tc>
          <w:tcPr>
            <w:tcW w:w="0" w:type="auto"/>
            <w:vAlign w:val="center"/>
          </w:tcPr>
          <w:p w14:paraId="343D3ED5" w14:textId="77777777" w:rsidR="001D720B" w:rsidRPr="001054BE" w:rsidRDefault="001D720B" w:rsidP="00B247C9">
            <w:pPr>
              <w:jc w:val="center"/>
              <w:rPr>
                <w:b/>
                <w:color w:val="448084"/>
                <w:sz w:val="44"/>
              </w:rPr>
            </w:pPr>
            <w:r w:rsidRPr="001054BE">
              <w:rPr>
                <w:b/>
                <w:color w:val="448084"/>
                <w:sz w:val="44"/>
              </w:rPr>
              <w:t>8</w:t>
            </w:r>
          </w:p>
        </w:tc>
        <w:tc>
          <w:tcPr>
            <w:tcW w:w="0" w:type="auto"/>
          </w:tcPr>
          <w:p w14:paraId="2CA0442D" w14:textId="77777777" w:rsidR="001D720B" w:rsidRPr="00953083" w:rsidRDefault="001D720B" w:rsidP="009B03D1">
            <w:pPr>
              <w:spacing w:after="200"/>
              <w:rPr>
                <w:b/>
                <w:sz w:val="24"/>
              </w:rPr>
            </w:pPr>
            <w:r w:rsidRPr="002E05E8">
              <w:rPr>
                <w:b/>
                <w:sz w:val="24"/>
              </w:rPr>
              <w:t xml:space="preserve">Use </w:t>
            </w:r>
            <w:r>
              <w:rPr>
                <w:b/>
                <w:sz w:val="24"/>
              </w:rPr>
              <w:t>3 to 5</w:t>
            </w:r>
            <w:r w:rsidRPr="002E05E8">
              <w:rPr>
                <w:b/>
                <w:sz w:val="24"/>
              </w:rPr>
              <w:t xml:space="preserve"> short response options: </w:t>
            </w:r>
            <w:r>
              <w:rPr>
                <w:sz w:val="24"/>
              </w:rPr>
              <w:t>Use</w:t>
            </w:r>
            <w:r w:rsidRPr="002E05E8">
              <w:rPr>
                <w:sz w:val="24"/>
              </w:rPr>
              <w:t xml:space="preserve"> </w:t>
            </w:r>
            <w:r>
              <w:rPr>
                <w:sz w:val="24"/>
              </w:rPr>
              <w:t xml:space="preserve">up to </w:t>
            </w:r>
            <w:r w:rsidRPr="002E05E8">
              <w:rPr>
                <w:sz w:val="24"/>
              </w:rPr>
              <w:t xml:space="preserve">three </w:t>
            </w:r>
            <w:r>
              <w:rPr>
                <w:sz w:val="24"/>
              </w:rPr>
              <w:t>response options for people with more severe cognitive impairment. Use up to five response options for people with milder cognitive impairment</w:t>
            </w:r>
            <w:r w:rsidRPr="002E05E8">
              <w:rPr>
                <w:sz w:val="24"/>
              </w:rPr>
              <w:t>. Keep the</w:t>
            </w:r>
            <w:r>
              <w:rPr>
                <w:sz w:val="24"/>
              </w:rPr>
              <w:t xml:space="preserve"> response</w:t>
            </w:r>
            <w:r w:rsidRPr="002E05E8">
              <w:rPr>
                <w:sz w:val="24"/>
              </w:rPr>
              <w:t xml:space="preserve"> labels short.</w:t>
            </w:r>
          </w:p>
        </w:tc>
        <w:sdt>
          <w:sdtPr>
            <w:rPr>
              <w:sz w:val="24"/>
            </w:rPr>
            <w:id w:val="2055736454"/>
            <w14:checkbox>
              <w14:checked w14:val="0"/>
              <w14:checkedState w14:val="2612" w14:font="MS Gothic"/>
              <w14:uncheckedState w14:val="2610" w14:font="MS Gothic"/>
            </w14:checkbox>
          </w:sdtPr>
          <w:sdtEndPr/>
          <w:sdtContent>
            <w:tc>
              <w:tcPr>
                <w:tcW w:w="0" w:type="auto"/>
                <w:vAlign w:val="center"/>
              </w:tcPr>
              <w:p w14:paraId="1B64412D" w14:textId="77777777" w:rsidR="001D720B" w:rsidRDefault="001D720B" w:rsidP="00B247C9">
                <w:pPr>
                  <w:jc w:val="center"/>
                  <w:rPr>
                    <w:sz w:val="24"/>
                  </w:rPr>
                </w:pPr>
                <w:r>
                  <w:rPr>
                    <w:rFonts w:ascii="MS Gothic" w:eastAsia="MS Gothic" w:hAnsi="MS Gothic" w:hint="eastAsia"/>
                    <w:sz w:val="24"/>
                  </w:rPr>
                  <w:t>☐</w:t>
                </w:r>
              </w:p>
            </w:tc>
          </w:sdtContent>
        </w:sdt>
      </w:tr>
      <w:tr w:rsidR="001D720B" w14:paraId="239E25FB" w14:textId="77777777" w:rsidTr="006B0C2E">
        <w:tc>
          <w:tcPr>
            <w:tcW w:w="0" w:type="auto"/>
            <w:vAlign w:val="center"/>
          </w:tcPr>
          <w:p w14:paraId="593500A2" w14:textId="77777777" w:rsidR="001D720B" w:rsidRPr="001054BE" w:rsidRDefault="001D720B" w:rsidP="00B247C9">
            <w:pPr>
              <w:jc w:val="center"/>
              <w:rPr>
                <w:b/>
                <w:color w:val="448084"/>
                <w:sz w:val="44"/>
              </w:rPr>
            </w:pPr>
            <w:r w:rsidRPr="001054BE">
              <w:rPr>
                <w:b/>
                <w:color w:val="448084"/>
                <w:sz w:val="44"/>
              </w:rPr>
              <w:t>9</w:t>
            </w:r>
          </w:p>
        </w:tc>
        <w:tc>
          <w:tcPr>
            <w:tcW w:w="0" w:type="auto"/>
          </w:tcPr>
          <w:p w14:paraId="61662AE1" w14:textId="77777777" w:rsidR="001D720B" w:rsidRDefault="001D720B" w:rsidP="009B03D1">
            <w:pPr>
              <w:spacing w:after="200"/>
              <w:rPr>
                <w:sz w:val="24"/>
              </w:rPr>
            </w:pPr>
            <w:r>
              <w:rPr>
                <w:b/>
                <w:sz w:val="24"/>
              </w:rPr>
              <w:t>Image</w:t>
            </w:r>
            <w:r w:rsidRPr="00953083">
              <w:rPr>
                <w:b/>
                <w:sz w:val="24"/>
              </w:rPr>
              <w:t>s</w:t>
            </w:r>
            <w:r>
              <w:rPr>
                <w:b/>
                <w:sz w:val="24"/>
              </w:rPr>
              <w:t xml:space="preserve"> with Alt Text</w:t>
            </w:r>
            <w:r w:rsidRPr="00953083">
              <w:rPr>
                <w:b/>
                <w:sz w:val="24"/>
              </w:rPr>
              <w:t>:</w:t>
            </w:r>
            <w:r>
              <w:rPr>
                <w:sz w:val="24"/>
              </w:rPr>
              <w:t xml:space="preserve"> Consider using both text and images in response options for people with cognitive disabilities. Enter image alt text for people with vision loss.</w:t>
            </w:r>
          </w:p>
        </w:tc>
        <w:sdt>
          <w:sdtPr>
            <w:rPr>
              <w:sz w:val="24"/>
            </w:rPr>
            <w:id w:val="991991092"/>
            <w14:checkbox>
              <w14:checked w14:val="0"/>
              <w14:checkedState w14:val="2612" w14:font="MS Gothic"/>
              <w14:uncheckedState w14:val="2610" w14:font="MS Gothic"/>
            </w14:checkbox>
          </w:sdtPr>
          <w:sdtEndPr/>
          <w:sdtContent>
            <w:tc>
              <w:tcPr>
                <w:tcW w:w="0" w:type="auto"/>
                <w:vAlign w:val="center"/>
              </w:tcPr>
              <w:p w14:paraId="2787E663" w14:textId="77777777" w:rsidR="001D720B" w:rsidRDefault="001D720B" w:rsidP="00B247C9">
                <w:pPr>
                  <w:jc w:val="center"/>
                  <w:rPr>
                    <w:sz w:val="24"/>
                  </w:rPr>
                </w:pPr>
                <w:r>
                  <w:rPr>
                    <w:rFonts w:ascii="MS Gothic" w:eastAsia="MS Gothic" w:hAnsi="MS Gothic" w:hint="eastAsia"/>
                    <w:sz w:val="24"/>
                  </w:rPr>
                  <w:t>☐</w:t>
                </w:r>
              </w:p>
            </w:tc>
          </w:sdtContent>
        </w:sdt>
      </w:tr>
      <w:tr w:rsidR="001D720B" w14:paraId="14571E8A" w14:textId="77777777" w:rsidTr="006B0C2E">
        <w:tc>
          <w:tcPr>
            <w:tcW w:w="0" w:type="auto"/>
            <w:vAlign w:val="center"/>
          </w:tcPr>
          <w:p w14:paraId="0523C2A3" w14:textId="77777777" w:rsidR="001D720B" w:rsidRPr="001054BE" w:rsidRDefault="001D720B" w:rsidP="00B247C9">
            <w:pPr>
              <w:jc w:val="center"/>
              <w:rPr>
                <w:b/>
                <w:color w:val="448084"/>
                <w:sz w:val="44"/>
              </w:rPr>
            </w:pPr>
            <w:r w:rsidRPr="001054BE">
              <w:rPr>
                <w:b/>
                <w:color w:val="448084"/>
                <w:sz w:val="44"/>
              </w:rPr>
              <w:t>10</w:t>
            </w:r>
          </w:p>
        </w:tc>
        <w:tc>
          <w:tcPr>
            <w:tcW w:w="0" w:type="auto"/>
          </w:tcPr>
          <w:p w14:paraId="47EEA063" w14:textId="77777777" w:rsidR="001D720B" w:rsidRPr="009503E7" w:rsidRDefault="001D720B" w:rsidP="009B03D1">
            <w:pPr>
              <w:rPr>
                <w:sz w:val="24"/>
              </w:rPr>
            </w:pPr>
            <w:r>
              <w:rPr>
                <w:b/>
                <w:sz w:val="24"/>
              </w:rPr>
              <w:t>Allow for No Response:</w:t>
            </w:r>
            <w:r>
              <w:rPr>
                <w:sz w:val="24"/>
              </w:rPr>
              <w:t xml:space="preserve"> Tell people to give their best guess.</w:t>
            </w:r>
            <w:r>
              <w:rPr>
                <w:b/>
                <w:sz w:val="24"/>
              </w:rPr>
              <w:t xml:space="preserve"> </w:t>
            </w:r>
            <w:r>
              <w:rPr>
                <w:sz w:val="24"/>
              </w:rPr>
              <w:t>Include “I don’t know” response options to reduce anxiety.</w:t>
            </w:r>
          </w:p>
        </w:tc>
        <w:sdt>
          <w:sdtPr>
            <w:rPr>
              <w:sz w:val="24"/>
            </w:rPr>
            <w:id w:val="1985047841"/>
            <w14:checkbox>
              <w14:checked w14:val="0"/>
              <w14:checkedState w14:val="2612" w14:font="MS Gothic"/>
              <w14:uncheckedState w14:val="2610" w14:font="MS Gothic"/>
            </w14:checkbox>
          </w:sdtPr>
          <w:sdtEndPr/>
          <w:sdtContent>
            <w:tc>
              <w:tcPr>
                <w:tcW w:w="0" w:type="auto"/>
                <w:vAlign w:val="center"/>
              </w:tcPr>
              <w:p w14:paraId="288BC025" w14:textId="77777777" w:rsidR="001D720B" w:rsidRDefault="001D720B" w:rsidP="00B247C9">
                <w:pPr>
                  <w:jc w:val="center"/>
                  <w:rPr>
                    <w:sz w:val="24"/>
                  </w:rPr>
                </w:pPr>
                <w:r>
                  <w:rPr>
                    <w:rFonts w:ascii="MS Gothic" w:eastAsia="MS Gothic" w:hAnsi="MS Gothic" w:hint="eastAsia"/>
                    <w:sz w:val="24"/>
                  </w:rPr>
                  <w:t>☐</w:t>
                </w:r>
              </w:p>
            </w:tc>
          </w:sdtContent>
        </w:sdt>
      </w:tr>
    </w:tbl>
    <w:p w14:paraId="6D3B5877" w14:textId="77777777" w:rsidR="005D69A0" w:rsidRDefault="006E4F39" w:rsidP="00B320CE"/>
    <w:sectPr w:rsidR="005D69A0" w:rsidSect="00D350F3">
      <w:headerReference w:type="default" r:id="rId10"/>
      <w:footerReference w:type="default" r:id="rId1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0612" w14:textId="77777777" w:rsidR="00D350F3" w:rsidRDefault="00D350F3" w:rsidP="00D350F3">
      <w:pPr>
        <w:spacing w:after="0" w:line="240" w:lineRule="auto"/>
      </w:pPr>
      <w:r>
        <w:separator/>
      </w:r>
    </w:p>
  </w:endnote>
  <w:endnote w:type="continuationSeparator" w:id="0">
    <w:p w14:paraId="07572E35" w14:textId="77777777" w:rsidR="00D350F3" w:rsidRDefault="00D350F3" w:rsidP="00D3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1FD1" w14:textId="4EC48C2A" w:rsidR="00D350F3" w:rsidRPr="00D350F3" w:rsidRDefault="00D350F3" w:rsidP="00BC475A">
    <w:pPr>
      <w:spacing w:after="0" w:line="240" w:lineRule="auto"/>
      <w:rPr>
        <w:sz w:val="20"/>
      </w:rPr>
    </w:pPr>
    <w:r w:rsidRPr="006D12EB">
      <w:rPr>
        <w:sz w:val="18"/>
      </w:rPr>
      <w:t xml:space="preserve">Funding for this product was supported, in part, by the Virginia Board for People with Disabilities, under grant </w:t>
    </w:r>
    <w:r w:rsidRPr="006E4F39">
      <w:rPr>
        <w:sz w:val="18"/>
      </w:rPr>
      <w:t xml:space="preserve">number </w:t>
    </w:r>
    <w:r w:rsidR="006E4F39" w:rsidRPr="006E4F39">
      <w:rPr>
        <w:sz w:val="18"/>
      </w:rPr>
      <w:t>21</w:t>
    </w:r>
    <w:r w:rsidRPr="006E4F39">
      <w:rPr>
        <w:sz w:val="18"/>
      </w:rPr>
      <w:t>01VASCDD</w:t>
    </w:r>
    <w:r w:rsidR="006E4F39" w:rsidRPr="006E4F39">
      <w:rPr>
        <w:sz w:val="18"/>
      </w:rPr>
      <w:t>-00</w:t>
    </w:r>
    <w:r w:rsidRPr="006E4F39">
      <w:rPr>
        <w:sz w:val="18"/>
      </w:rPr>
      <w:t>,</w:t>
    </w:r>
    <w:r w:rsidRPr="006D12EB">
      <w:rPr>
        <w:sz w:val="18"/>
      </w:rPr>
      <w:t xml:space="preserve">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3CF9" w14:textId="77777777" w:rsidR="00D350F3" w:rsidRDefault="00D350F3" w:rsidP="00D350F3">
      <w:pPr>
        <w:spacing w:after="0" w:line="240" w:lineRule="auto"/>
      </w:pPr>
      <w:r>
        <w:separator/>
      </w:r>
    </w:p>
  </w:footnote>
  <w:footnote w:type="continuationSeparator" w:id="0">
    <w:p w14:paraId="38B5809A" w14:textId="77777777" w:rsidR="00D350F3" w:rsidRDefault="00D350F3" w:rsidP="00D3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8577" w14:textId="77777777" w:rsidR="00D350F3" w:rsidRDefault="00D350F3" w:rsidP="00D350F3">
    <w:pPr>
      <w:pStyle w:val="Header"/>
      <w:jc w:val="right"/>
    </w:pPr>
    <w:r>
      <w:rPr>
        <w:noProof/>
      </w:rPr>
      <w:drawing>
        <wp:inline distT="0" distB="0" distL="0" distR="0" wp14:anchorId="171329BB" wp14:editId="5534A899">
          <wp:extent cx="2133398" cy="688340"/>
          <wp:effectExtent l="0" t="0" r="635" b="0"/>
          <wp:docPr id="3" name="Picture 3" descr="Logo for the Virginia Board for People with Disabilities. Three different abstract people, of varying size and color, are shown to the left of the agenc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PD Logo Color MAIN P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33398" cy="688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F3"/>
    <w:rsid w:val="0000128C"/>
    <w:rsid w:val="00005297"/>
    <w:rsid w:val="0000642F"/>
    <w:rsid w:val="00036FF9"/>
    <w:rsid w:val="00046930"/>
    <w:rsid w:val="000651D1"/>
    <w:rsid w:val="000754B9"/>
    <w:rsid w:val="00085B67"/>
    <w:rsid w:val="00093E22"/>
    <w:rsid w:val="000B20B3"/>
    <w:rsid w:val="000D2B39"/>
    <w:rsid w:val="000E2742"/>
    <w:rsid w:val="00101F1E"/>
    <w:rsid w:val="00104A6A"/>
    <w:rsid w:val="001054BE"/>
    <w:rsid w:val="0010798C"/>
    <w:rsid w:val="001154D4"/>
    <w:rsid w:val="0011690A"/>
    <w:rsid w:val="001252A3"/>
    <w:rsid w:val="00130BED"/>
    <w:rsid w:val="00136C9B"/>
    <w:rsid w:val="00166E0F"/>
    <w:rsid w:val="00171D08"/>
    <w:rsid w:val="00181A3E"/>
    <w:rsid w:val="001B6831"/>
    <w:rsid w:val="001B76DA"/>
    <w:rsid w:val="001C1343"/>
    <w:rsid w:val="001C5A0E"/>
    <w:rsid w:val="001D720B"/>
    <w:rsid w:val="001E3E23"/>
    <w:rsid w:val="001E4907"/>
    <w:rsid w:val="001F5D2D"/>
    <w:rsid w:val="002259C7"/>
    <w:rsid w:val="002315B0"/>
    <w:rsid w:val="0024268F"/>
    <w:rsid w:val="00256EEE"/>
    <w:rsid w:val="00271CB2"/>
    <w:rsid w:val="002C2F92"/>
    <w:rsid w:val="002E05E8"/>
    <w:rsid w:val="002E5A51"/>
    <w:rsid w:val="00322E82"/>
    <w:rsid w:val="00330B75"/>
    <w:rsid w:val="00331F10"/>
    <w:rsid w:val="003A1E4E"/>
    <w:rsid w:val="003A36DD"/>
    <w:rsid w:val="003A48A5"/>
    <w:rsid w:val="003A50DA"/>
    <w:rsid w:val="003B7F8C"/>
    <w:rsid w:val="003E10EA"/>
    <w:rsid w:val="003E5E09"/>
    <w:rsid w:val="0040199D"/>
    <w:rsid w:val="0040664C"/>
    <w:rsid w:val="004145F4"/>
    <w:rsid w:val="00416F35"/>
    <w:rsid w:val="004723D9"/>
    <w:rsid w:val="004735A7"/>
    <w:rsid w:val="00475F37"/>
    <w:rsid w:val="004A7BCD"/>
    <w:rsid w:val="004B1964"/>
    <w:rsid w:val="004C17E5"/>
    <w:rsid w:val="004D3FE7"/>
    <w:rsid w:val="004D4549"/>
    <w:rsid w:val="004D530E"/>
    <w:rsid w:val="004F1FC4"/>
    <w:rsid w:val="00527DF1"/>
    <w:rsid w:val="00535BBD"/>
    <w:rsid w:val="00536E55"/>
    <w:rsid w:val="0054507D"/>
    <w:rsid w:val="00551B43"/>
    <w:rsid w:val="00552510"/>
    <w:rsid w:val="00553782"/>
    <w:rsid w:val="00556B88"/>
    <w:rsid w:val="00581CA6"/>
    <w:rsid w:val="00587D50"/>
    <w:rsid w:val="00590022"/>
    <w:rsid w:val="005A02DE"/>
    <w:rsid w:val="005B2FE3"/>
    <w:rsid w:val="005B50F3"/>
    <w:rsid w:val="005D6015"/>
    <w:rsid w:val="005E7976"/>
    <w:rsid w:val="005F5292"/>
    <w:rsid w:val="005F55A0"/>
    <w:rsid w:val="0063031E"/>
    <w:rsid w:val="0064590D"/>
    <w:rsid w:val="00653888"/>
    <w:rsid w:val="0065630D"/>
    <w:rsid w:val="00660AA6"/>
    <w:rsid w:val="00660B8F"/>
    <w:rsid w:val="00664CD2"/>
    <w:rsid w:val="006973B5"/>
    <w:rsid w:val="006B0C2E"/>
    <w:rsid w:val="006B4E09"/>
    <w:rsid w:val="006C293D"/>
    <w:rsid w:val="006C3B8D"/>
    <w:rsid w:val="006D3618"/>
    <w:rsid w:val="006E4F39"/>
    <w:rsid w:val="00701017"/>
    <w:rsid w:val="00707186"/>
    <w:rsid w:val="007113E9"/>
    <w:rsid w:val="00713A54"/>
    <w:rsid w:val="00754CED"/>
    <w:rsid w:val="00763B4F"/>
    <w:rsid w:val="007734AF"/>
    <w:rsid w:val="00786218"/>
    <w:rsid w:val="00792B54"/>
    <w:rsid w:val="00797E68"/>
    <w:rsid w:val="007A179B"/>
    <w:rsid w:val="007A41D9"/>
    <w:rsid w:val="007E25C7"/>
    <w:rsid w:val="007E558C"/>
    <w:rsid w:val="007F0BCB"/>
    <w:rsid w:val="007F747A"/>
    <w:rsid w:val="00802B41"/>
    <w:rsid w:val="008120F7"/>
    <w:rsid w:val="00822FA1"/>
    <w:rsid w:val="008352EE"/>
    <w:rsid w:val="0084159E"/>
    <w:rsid w:val="00877F8A"/>
    <w:rsid w:val="00887BA5"/>
    <w:rsid w:val="008969DB"/>
    <w:rsid w:val="008A50ED"/>
    <w:rsid w:val="008C47C8"/>
    <w:rsid w:val="008D667D"/>
    <w:rsid w:val="0090188E"/>
    <w:rsid w:val="009029C0"/>
    <w:rsid w:val="009122B6"/>
    <w:rsid w:val="00920A1E"/>
    <w:rsid w:val="009248BA"/>
    <w:rsid w:val="009459C0"/>
    <w:rsid w:val="009503E7"/>
    <w:rsid w:val="009661CF"/>
    <w:rsid w:val="00977E91"/>
    <w:rsid w:val="00980EFA"/>
    <w:rsid w:val="009900CB"/>
    <w:rsid w:val="00990865"/>
    <w:rsid w:val="00995AB3"/>
    <w:rsid w:val="009B03D1"/>
    <w:rsid w:val="009B10AF"/>
    <w:rsid w:val="009B3951"/>
    <w:rsid w:val="009B5C28"/>
    <w:rsid w:val="009D002D"/>
    <w:rsid w:val="009D4728"/>
    <w:rsid w:val="009E615C"/>
    <w:rsid w:val="00A00254"/>
    <w:rsid w:val="00A07CB5"/>
    <w:rsid w:val="00A1561E"/>
    <w:rsid w:val="00A2764D"/>
    <w:rsid w:val="00A50EFA"/>
    <w:rsid w:val="00A57D3C"/>
    <w:rsid w:val="00A9036A"/>
    <w:rsid w:val="00A90EDC"/>
    <w:rsid w:val="00A912C6"/>
    <w:rsid w:val="00A9683F"/>
    <w:rsid w:val="00AE58E7"/>
    <w:rsid w:val="00B064BF"/>
    <w:rsid w:val="00B247C9"/>
    <w:rsid w:val="00B320CE"/>
    <w:rsid w:val="00B35222"/>
    <w:rsid w:val="00B41E0C"/>
    <w:rsid w:val="00B7306E"/>
    <w:rsid w:val="00B80F15"/>
    <w:rsid w:val="00BB72D5"/>
    <w:rsid w:val="00BC475A"/>
    <w:rsid w:val="00BE2C0C"/>
    <w:rsid w:val="00BF0B47"/>
    <w:rsid w:val="00BF4F25"/>
    <w:rsid w:val="00BF6A71"/>
    <w:rsid w:val="00C01A68"/>
    <w:rsid w:val="00C065EB"/>
    <w:rsid w:val="00C13D6C"/>
    <w:rsid w:val="00C143FB"/>
    <w:rsid w:val="00C34A32"/>
    <w:rsid w:val="00C54D1A"/>
    <w:rsid w:val="00C6695B"/>
    <w:rsid w:val="00C80697"/>
    <w:rsid w:val="00C96A5D"/>
    <w:rsid w:val="00CA6504"/>
    <w:rsid w:val="00CB16D5"/>
    <w:rsid w:val="00CB61FA"/>
    <w:rsid w:val="00CC3616"/>
    <w:rsid w:val="00CC7AE4"/>
    <w:rsid w:val="00CD178D"/>
    <w:rsid w:val="00CF4846"/>
    <w:rsid w:val="00D2146F"/>
    <w:rsid w:val="00D2435C"/>
    <w:rsid w:val="00D3211C"/>
    <w:rsid w:val="00D350F3"/>
    <w:rsid w:val="00D40DF5"/>
    <w:rsid w:val="00D420A6"/>
    <w:rsid w:val="00D7327A"/>
    <w:rsid w:val="00D810C6"/>
    <w:rsid w:val="00D815AF"/>
    <w:rsid w:val="00D83352"/>
    <w:rsid w:val="00DA0F4C"/>
    <w:rsid w:val="00DE0755"/>
    <w:rsid w:val="00E04A7A"/>
    <w:rsid w:val="00E56190"/>
    <w:rsid w:val="00E73E3E"/>
    <w:rsid w:val="00E7618B"/>
    <w:rsid w:val="00E95F1C"/>
    <w:rsid w:val="00EA0D26"/>
    <w:rsid w:val="00EA49A1"/>
    <w:rsid w:val="00EB264B"/>
    <w:rsid w:val="00EC15E1"/>
    <w:rsid w:val="00EC3012"/>
    <w:rsid w:val="00EC7A89"/>
    <w:rsid w:val="00F223E3"/>
    <w:rsid w:val="00F36F9E"/>
    <w:rsid w:val="00F43686"/>
    <w:rsid w:val="00F66BF9"/>
    <w:rsid w:val="00F854F0"/>
    <w:rsid w:val="00F856D3"/>
    <w:rsid w:val="00F90E90"/>
    <w:rsid w:val="00FA64C2"/>
    <w:rsid w:val="00FB378B"/>
    <w:rsid w:val="00FB4EB4"/>
    <w:rsid w:val="00FD0174"/>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B371"/>
  <w15:chartTrackingRefBased/>
  <w15:docId w15:val="{F8EB8FF8-2ADF-45A6-9B3D-04560B79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AssessmentHeading">
    <w:name w:val="L1 Assessment Heading"/>
    <w:basedOn w:val="Normal"/>
    <w:link w:val="L1AssessmentHeadingChar"/>
    <w:qFormat/>
    <w:rsid w:val="00FD0174"/>
    <w:pPr>
      <w:jc w:val="center"/>
    </w:pPr>
    <w:rPr>
      <w:b/>
      <w:color w:val="054F7D"/>
      <w:sz w:val="46"/>
      <w:szCs w:val="24"/>
    </w:rPr>
  </w:style>
  <w:style w:type="character" w:customStyle="1" w:styleId="L1AssessmentHeadingChar">
    <w:name w:val="L1 Assessment Heading Char"/>
    <w:basedOn w:val="DefaultParagraphFont"/>
    <w:link w:val="L1AssessmentHeading"/>
    <w:rsid w:val="00FD0174"/>
    <w:rPr>
      <w:b/>
      <w:color w:val="054F7D"/>
      <w:sz w:val="46"/>
      <w:szCs w:val="24"/>
    </w:rPr>
  </w:style>
  <w:style w:type="paragraph" w:customStyle="1" w:styleId="L2AssessmentHeader">
    <w:name w:val="L2 Assessment Header"/>
    <w:basedOn w:val="Normal"/>
    <w:qFormat/>
    <w:rsid w:val="00FD0174"/>
    <w:rPr>
      <w:b/>
      <w:color w:val="054F7D"/>
      <w:sz w:val="28"/>
    </w:rPr>
  </w:style>
  <w:style w:type="paragraph" w:customStyle="1" w:styleId="L3AssessmentHeader">
    <w:name w:val="L3 Assessment Header"/>
    <w:basedOn w:val="L2AssessmentHeader"/>
    <w:qFormat/>
    <w:rsid w:val="00FD0174"/>
    <w:rPr>
      <w:color w:val="auto"/>
      <w:sz w:val="24"/>
    </w:rPr>
  </w:style>
  <w:style w:type="paragraph" w:styleId="Header">
    <w:name w:val="header"/>
    <w:basedOn w:val="Normal"/>
    <w:link w:val="HeaderChar"/>
    <w:uiPriority w:val="99"/>
    <w:unhideWhenUsed/>
    <w:rsid w:val="00D3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3"/>
  </w:style>
  <w:style w:type="paragraph" w:styleId="Footer">
    <w:name w:val="footer"/>
    <w:basedOn w:val="Normal"/>
    <w:link w:val="FooterChar"/>
    <w:uiPriority w:val="99"/>
    <w:unhideWhenUsed/>
    <w:rsid w:val="00D3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3"/>
  </w:style>
  <w:style w:type="table" w:styleId="TableGrid">
    <w:name w:val="Table Grid"/>
    <w:basedOn w:val="TableNormal"/>
    <w:uiPriority w:val="39"/>
    <w:rsid w:val="00D3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0F3"/>
    <w:rPr>
      <w:color w:val="0563C1" w:themeColor="hyperlink"/>
      <w:u w:val="single"/>
    </w:rPr>
  </w:style>
  <w:style w:type="character" w:styleId="FollowedHyperlink">
    <w:name w:val="FollowedHyperlink"/>
    <w:basedOn w:val="DefaultParagraphFont"/>
    <w:uiPriority w:val="99"/>
    <w:semiHidden/>
    <w:unhideWhenUsed/>
    <w:rsid w:val="009B10AF"/>
    <w:rPr>
      <w:color w:val="954F72" w:themeColor="followedHyperlink"/>
      <w:u w:val="single"/>
    </w:rPr>
  </w:style>
  <w:style w:type="character" w:styleId="CommentReference">
    <w:name w:val="annotation reference"/>
    <w:basedOn w:val="DefaultParagraphFont"/>
    <w:uiPriority w:val="99"/>
    <w:semiHidden/>
    <w:unhideWhenUsed/>
    <w:rsid w:val="003A1E4E"/>
    <w:rPr>
      <w:sz w:val="16"/>
      <w:szCs w:val="16"/>
    </w:rPr>
  </w:style>
  <w:style w:type="paragraph" w:styleId="CommentText">
    <w:name w:val="annotation text"/>
    <w:basedOn w:val="Normal"/>
    <w:link w:val="CommentTextChar"/>
    <w:uiPriority w:val="99"/>
    <w:semiHidden/>
    <w:unhideWhenUsed/>
    <w:rsid w:val="003A1E4E"/>
    <w:pPr>
      <w:spacing w:line="240" w:lineRule="auto"/>
    </w:pPr>
    <w:rPr>
      <w:sz w:val="20"/>
      <w:szCs w:val="20"/>
    </w:rPr>
  </w:style>
  <w:style w:type="character" w:customStyle="1" w:styleId="CommentTextChar">
    <w:name w:val="Comment Text Char"/>
    <w:basedOn w:val="DefaultParagraphFont"/>
    <w:link w:val="CommentText"/>
    <w:uiPriority w:val="99"/>
    <w:semiHidden/>
    <w:rsid w:val="003A1E4E"/>
    <w:rPr>
      <w:sz w:val="20"/>
      <w:szCs w:val="20"/>
    </w:rPr>
  </w:style>
  <w:style w:type="paragraph" w:styleId="CommentSubject">
    <w:name w:val="annotation subject"/>
    <w:basedOn w:val="CommentText"/>
    <w:next w:val="CommentText"/>
    <w:link w:val="CommentSubjectChar"/>
    <w:uiPriority w:val="99"/>
    <w:semiHidden/>
    <w:unhideWhenUsed/>
    <w:rsid w:val="003A1E4E"/>
    <w:rPr>
      <w:b/>
      <w:bCs/>
    </w:rPr>
  </w:style>
  <w:style w:type="character" w:customStyle="1" w:styleId="CommentSubjectChar">
    <w:name w:val="Comment Subject Char"/>
    <w:basedOn w:val="CommentTextChar"/>
    <w:link w:val="CommentSubject"/>
    <w:uiPriority w:val="99"/>
    <w:semiHidden/>
    <w:rsid w:val="003A1E4E"/>
    <w:rPr>
      <w:b/>
      <w:bCs/>
      <w:sz w:val="20"/>
      <w:szCs w:val="20"/>
    </w:rPr>
  </w:style>
  <w:style w:type="paragraph" w:styleId="BalloonText">
    <w:name w:val="Balloon Text"/>
    <w:basedOn w:val="Normal"/>
    <w:link w:val="BalloonTextChar"/>
    <w:uiPriority w:val="99"/>
    <w:semiHidden/>
    <w:unhideWhenUsed/>
    <w:rsid w:val="003A1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st-finder.tanagur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cessibleweb.com/color-contrast-check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tion508.gov/manage/laws-and-polici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atayze.com/readability-analyz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Harrison (VBPD)</dc:creator>
  <cp:keywords/>
  <dc:description/>
  <cp:lastModifiedBy>Nia Harrison (VBPD)</cp:lastModifiedBy>
  <cp:revision>3</cp:revision>
  <dcterms:created xsi:type="dcterms:W3CDTF">2022-05-27T19:51:00Z</dcterms:created>
  <dcterms:modified xsi:type="dcterms:W3CDTF">2022-05-27T19:57:00Z</dcterms:modified>
</cp:coreProperties>
</file>